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"/>
      </w:pPr>
      <w:r>
        <w:rPr>
          <w:rFonts w:ascii="Microsoft JhengHei" w:hAnsi="Microsoft JhengHei" w:eastAsia="Microsoft JhengHei" w:cs="Microsoft JhengHei" w:hint="eastAsia"/>
          <w:b/>
          <w:color w:val="123B63"/>
          <w:sz w:val="46"/>
          <w:lang w:val="zh-TW" w:eastAsia="zh-TW"/>
        </w:rPr>
        <w:t>新聞稿仿寫標準範本</w:t>
      </w:r>
    </w:p>
    <w:p>
      <w:pPr>
        <w:spacing w:after="280"/>
      </w:pPr>
      <w:r>
        <w:rPr>
          <w:rFonts w:ascii="Microsoft JhengHei" w:hAnsi="Microsoft JhengHei" w:eastAsia="Microsoft JhengHei" w:cs="Microsoft JhengHei" w:hint="eastAsia"/>
          <w:b w:val="0"/>
          <w:color w:val="5F6B76"/>
          <w:sz w:val="22"/>
          <w:lang w:val="zh-TW" w:eastAsia="zh-TW"/>
        </w:rPr>
        <w:t>東海大學公共事務暨校友服務處｜課堂練習用虛構範例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824"/>
        <w:gridCol w:w="4824"/>
      </w:tblGrid>
      <w:tr>
        <w:tc>
          <w:tcPr>
            <w:tcW w:type="dxa" w:w="1944"/>
            <w:vAlign w:val="center"/>
            <w:shd w:fill="E8EEF5"/>
          </w:tcPr>
          <w:p>
            <w:r>
              <w:rPr>
                <w:rFonts w:ascii="Microsoft JhengHei" w:hAnsi="Microsoft JhengHei" w:eastAsia="Microsoft JhengHei" w:cs="Microsoft JhengHei" w:hint="eastAsia"/>
                <w:b/>
                <w:color w:val="123B63"/>
                <w:sz w:val="22"/>
                <w:lang w:val="zh-TW" w:eastAsia="zh-TW"/>
              </w:rPr>
              <w:t>發布單位</w:t>
            </w:r>
          </w:p>
        </w:tc>
        <w:tc>
          <w:tcPr>
            <w:tcW w:type="dxa" w:w="8208"/>
            <w:vAlign w:val="center"/>
          </w:tcPr>
          <w:p>
            <w:r>
              <w:rPr>
                <w:rFonts w:ascii="Microsoft JhengHei" w:hAnsi="Microsoft JhengHei" w:eastAsia="Microsoft JhengHei" w:cs="Microsoft JhengHei" w:hint="eastAsia"/>
                <w:b w:val="0"/>
                <w:sz w:val="22"/>
                <w:lang w:val="zh-TW" w:eastAsia="zh-TW"/>
              </w:rPr>
              <w:t>東海大學公共事務暨校友服務處</w:t>
            </w:r>
          </w:p>
        </w:tc>
      </w:tr>
      <w:tr>
        <w:tc>
          <w:tcPr>
            <w:tcW w:type="dxa" w:w="1944"/>
            <w:vAlign w:val="center"/>
            <w:shd w:fill="E8EEF5"/>
          </w:tcPr>
          <w:p>
            <w:r>
              <w:rPr>
                <w:rFonts w:ascii="Microsoft JhengHei" w:hAnsi="Microsoft JhengHei" w:eastAsia="Microsoft JhengHei" w:cs="Microsoft JhengHei" w:hint="eastAsia"/>
                <w:b/>
                <w:color w:val="123B63"/>
                <w:sz w:val="22"/>
                <w:lang w:val="zh-TW" w:eastAsia="zh-TW"/>
              </w:rPr>
              <w:t>發布日期</w:t>
            </w:r>
          </w:p>
        </w:tc>
        <w:tc>
          <w:tcPr>
            <w:tcW w:type="dxa" w:w="8208"/>
            <w:vAlign w:val="center"/>
          </w:tcPr>
          <w:p>
            <w:r>
              <w:rPr>
                <w:rFonts w:ascii="Microsoft JhengHei" w:hAnsi="Microsoft JhengHei" w:eastAsia="Microsoft JhengHei" w:cs="Microsoft JhengHei" w:hint="eastAsia"/>
                <w:b w:val="0"/>
                <w:sz w:val="22"/>
                <w:lang w:val="zh-TW" w:eastAsia="zh-TW"/>
              </w:rPr>
              <w:t>民國115年8月20日</w:t>
            </w:r>
          </w:p>
        </w:tc>
      </w:tr>
      <w:tr>
        <w:tc>
          <w:tcPr>
            <w:tcW w:type="dxa" w:w="1944"/>
            <w:vAlign w:val="center"/>
            <w:shd w:fill="E8EEF5"/>
          </w:tcPr>
          <w:p>
            <w:r>
              <w:rPr>
                <w:rFonts w:ascii="Microsoft JhengHei" w:hAnsi="Microsoft JhengHei" w:eastAsia="Microsoft JhengHei" w:cs="Microsoft JhengHei" w:hint="eastAsia"/>
                <w:b/>
                <w:color w:val="123B63"/>
                <w:sz w:val="22"/>
                <w:lang w:val="zh-TW" w:eastAsia="zh-TW"/>
              </w:rPr>
              <w:t>聯絡窗口</w:t>
            </w:r>
          </w:p>
        </w:tc>
        <w:tc>
          <w:tcPr>
            <w:tcW w:type="dxa" w:w="8208"/>
            <w:vAlign w:val="center"/>
          </w:tcPr>
          <w:p>
            <w:r>
              <w:rPr>
                <w:rFonts w:ascii="Microsoft JhengHei" w:hAnsi="Microsoft JhengHei" w:eastAsia="Microsoft JhengHei" w:cs="Microsoft JhengHei" w:hint="eastAsia"/>
                <w:b w:val="0"/>
                <w:sz w:val="22"/>
                <w:lang w:val="zh-TW" w:eastAsia="zh-TW"/>
              </w:rPr>
              <w:t>公共事務暨校友服務處（公事處）王小姐（虛構）</w:t>
            </w:r>
          </w:p>
        </w:tc>
      </w:tr>
      <w:tr>
        <w:tc>
          <w:tcPr>
            <w:tcW w:type="dxa" w:w="1944"/>
            <w:vAlign w:val="center"/>
            <w:shd w:fill="E8EEF5"/>
          </w:tcPr>
          <w:p>
            <w:r>
              <w:rPr>
                <w:rFonts w:ascii="Microsoft JhengHei" w:hAnsi="Microsoft JhengHei" w:eastAsia="Microsoft JhengHei" w:cs="Microsoft JhengHei" w:hint="eastAsia"/>
                <w:b/>
                <w:color w:val="123B63"/>
                <w:sz w:val="22"/>
                <w:lang w:val="zh-TW" w:eastAsia="zh-TW"/>
              </w:rPr>
              <w:t>聯絡方式</w:t>
            </w:r>
          </w:p>
        </w:tc>
        <w:tc>
          <w:tcPr>
            <w:tcW w:type="dxa" w:w="8208"/>
            <w:vAlign w:val="center"/>
          </w:tcPr>
          <w:p>
            <w:r>
              <w:rPr>
                <w:rFonts w:ascii="Microsoft JhengHei" w:hAnsi="Microsoft JhengHei" w:eastAsia="Microsoft JhengHei" w:cs="Microsoft JhengHei" w:hint="eastAsia"/>
                <w:b w:val="0"/>
                <w:sz w:val="22"/>
                <w:lang w:val="zh-TW" w:eastAsia="zh-TW"/>
              </w:rPr>
              <w:t>training@example.edu.tw｜04-0000-0000（虛構）</w:t>
            </w:r>
          </w:p>
        </w:tc>
      </w:tr>
    </w:tbl>
    <w:p/>
    <w:p>
      <w:pPr>
        <w:jc w:val="center"/>
      </w:pPr>
      <w:r>
        <w:rPr>
          <w:rFonts w:ascii="Microsoft JhengHei" w:hAnsi="Microsoft JhengHei" w:eastAsia="Microsoft JhengHei" w:cs="Microsoft JhengHei" w:hint="eastAsia"/>
          <w:b/>
          <w:color w:val="123B63"/>
          <w:sz w:val="36"/>
          <w:lang w:val="zh-TW" w:eastAsia="zh-TW"/>
        </w:rPr>
        <w:t>東海大學啟動「跨域共學週」　讓學習走出課堂、連結真實議題</w:t>
      </w:r>
    </w:p>
    <w:p>
      <w:pPr>
        <w:jc w:val="center"/>
      </w:pPr>
      <w:r>
        <w:rPr>
          <w:rFonts w:ascii="Microsoft JhengHei" w:hAnsi="Microsoft JhengHei" w:eastAsia="Microsoft JhengHei" w:cs="Microsoft JhengHei" w:hint="eastAsia"/>
          <w:b/>
          <w:color w:val="B8822E"/>
          <w:sz w:val="24"/>
          <w:lang w:val="zh-TW" w:eastAsia="zh-TW"/>
        </w:rPr>
        <w:t>跨院講座、實作工作坊與學習諮詢　打造學生自主探索新路徑</w:t>
      </w:r>
    </w:p>
    <w:p>
      <w:pPr>
        <w:spacing w:after="160"/>
        <w:ind w:firstLine="461"/>
      </w:pPr>
      <w:r>
        <w:rPr>
          <w:rFonts w:ascii="Microsoft JhengHei" w:hAnsi="Microsoft JhengHei" w:eastAsia="Microsoft JhengHei" w:cs="Microsoft JhengHei" w:hint="eastAsia"/>
          <w:b w:val="0"/>
          <w:sz w:val="22"/>
          <w:lang w:val="zh-TW" w:eastAsia="zh-TW"/>
        </w:rPr>
        <w:t>面對跨域人才與自主學習需求持續成長，東海大學於115學年度第一學期推出「跨域共學週」，整合跨院講座、實作工作坊與學習諮詢，鼓勵學生從校園議題出發，將專業知識轉化為協作與問題解決能力。</w:t>
      </w:r>
    </w:p>
    <w:p>
      <w:pPr>
        <w:spacing w:after="160"/>
        <w:ind w:firstLine="461"/>
      </w:pPr>
      <w:r>
        <w:rPr>
          <w:rFonts w:ascii="Microsoft JhengHei" w:hAnsi="Microsoft JhengHei" w:eastAsia="Microsoft JhengHei" w:cs="Microsoft JhengHei" w:hint="eastAsia"/>
          <w:b w:val="0"/>
          <w:sz w:val="22"/>
          <w:lang w:val="zh-TW" w:eastAsia="zh-TW"/>
        </w:rPr>
        <w:t>本次活動以「探索、連結、實作」為主軸，由不同學院教師與行政團隊共同規劃。學生可依興趣參加微講座、學習策略門診及校園議題工作坊，並在跨領域小組中交換觀點，建立個人化的學習路徑。</w:t>
      </w:r>
    </w:p>
    <w:p>
      <w:pPr>
        <w:spacing w:after="160"/>
        <w:ind w:firstLine="461"/>
      </w:pPr>
      <w:r>
        <w:rPr>
          <w:rFonts w:ascii="Microsoft JhengHei" w:hAnsi="Microsoft JhengHei" w:eastAsia="Microsoft JhengHei" w:cs="Microsoft JhengHei" w:hint="eastAsia"/>
          <w:b w:val="0"/>
          <w:sz w:val="22"/>
          <w:lang w:val="zh-TW" w:eastAsia="zh-TW"/>
        </w:rPr>
        <w:t>【圖片說明】學生透過跨域工作坊討論校園議題，從不同專業角度提出行動構想。（課堂虛構圖片說明）</w:t>
      </w:r>
    </w:p>
    <w:p>
      <w:pPr>
        <w:spacing w:after="160"/>
        <w:ind w:firstLine="461"/>
      </w:pPr>
      <w:r>
        <w:rPr>
          <w:rFonts w:ascii="Microsoft JhengHei" w:hAnsi="Microsoft JhengHei" w:eastAsia="Microsoft JhengHei" w:cs="Microsoft JhengHei" w:hint="eastAsia"/>
          <w:b w:val="0"/>
          <w:sz w:val="22"/>
          <w:lang w:val="zh-TW" w:eastAsia="zh-TW"/>
        </w:rPr>
        <w:t>計畫主持人陳○○（虛構）表示，跨域學習的價值不只是接觸不同知識，更在於理解不同專業如何合作。他期待學生透過共學週走出原有框架，在真實互動中培養溝通、整合與實作能力。</w:t>
      </w:r>
    </w:p>
    <w:p>
      <w:pPr>
        <w:spacing w:after="160"/>
        <w:ind w:firstLine="461"/>
      </w:pPr>
      <w:r>
        <w:rPr>
          <w:rFonts w:ascii="Microsoft JhengHei" w:hAnsi="Microsoft JhengHei" w:eastAsia="Microsoft JhengHei" w:cs="Microsoft JhengHei" w:hint="eastAsia"/>
          <w:b w:val="0"/>
          <w:sz w:val="22"/>
          <w:lang w:val="zh-TW" w:eastAsia="zh-TW"/>
        </w:rPr>
        <w:t>活動將採線上報名，部分場次名額有限，完整資訊與各場次時間將另行公布。本文中的日期、人名、聯絡資料與活動內容皆為 Goose AI 課堂練習所用之虛構資料，不代表本校正式新聞。</w:t>
      </w:r>
    </w:p>
    <w:p>
      <w:pPr>
        <w:pStyle w:val="Heading1"/>
      </w:pPr>
      <w:r>
        <w:t>寫作格式提示（供 Goose 仿寫）</w:t>
      </w:r>
    </w:p>
    <w:p>
      <w:pPr>
        <w:pStyle w:val="ListBullet"/>
        <w:spacing w:after="60"/>
      </w:pPr>
      <w:r>
        <w:rPr>
          <w:rFonts w:ascii="Microsoft JhengHei" w:hAnsi="Microsoft JhengHei" w:eastAsia="Microsoft JhengHei" w:cs="Microsoft JhengHei" w:hint="eastAsia"/>
          <w:b w:val="0"/>
          <w:sz w:val="22"/>
          <w:lang w:val="zh-TW" w:eastAsia="zh-TW"/>
        </w:rPr>
        <w:t>標題採「事件主體＋行動／亮點＋影響」結構，可用副標補充作法或成果。</w:t>
      </w:r>
    </w:p>
    <w:p>
      <w:pPr>
        <w:pStyle w:val="ListBullet"/>
        <w:spacing w:after="60"/>
      </w:pPr>
      <w:r>
        <w:rPr>
          <w:rFonts w:ascii="Microsoft JhengHei" w:hAnsi="Microsoft JhengHei" w:eastAsia="Microsoft JhengHei" w:cs="Microsoft JhengHei" w:hint="eastAsia"/>
          <w:b w:val="0"/>
          <w:sz w:val="22"/>
          <w:lang w:val="zh-TW" w:eastAsia="zh-TW"/>
        </w:rPr>
        <w:t>第一段直接交代事件的重要性、主體、行動與預期影響；不使用【臺中訊】制式起首。</w:t>
      </w:r>
    </w:p>
    <w:p>
      <w:pPr>
        <w:pStyle w:val="ListBullet"/>
        <w:spacing w:after="60"/>
      </w:pPr>
      <w:r>
        <w:rPr>
          <w:rFonts w:ascii="Microsoft JhengHei" w:hAnsi="Microsoft JhengHei" w:eastAsia="Microsoft JhengHei" w:cs="Microsoft JhengHei" w:hint="eastAsia"/>
          <w:b w:val="0"/>
          <w:sz w:val="22"/>
          <w:lang w:val="zh-TW" w:eastAsia="zh-TW"/>
        </w:rPr>
        <w:t>正文依序補充活動內容、具體數據與現場情境，圖片說明獨立成段。</w:t>
      </w:r>
    </w:p>
    <w:p>
      <w:pPr>
        <w:pStyle w:val="ListBullet"/>
        <w:spacing w:after="60"/>
      </w:pPr>
      <w:r>
        <w:rPr>
          <w:rFonts w:ascii="Microsoft JhengHei" w:hAnsi="Microsoft JhengHei" w:eastAsia="Microsoft JhengHei" w:cs="Microsoft JhengHei" w:hint="eastAsia"/>
          <w:b w:val="0"/>
          <w:sz w:val="22"/>
          <w:lang w:val="zh-TW" w:eastAsia="zh-TW"/>
        </w:rPr>
        <w:t>受訪者引言使用「職稱＋姓名＋表示／指出」，並和事件意義連結，不杜撰引言。</w:t>
      </w:r>
    </w:p>
    <w:p>
      <w:pPr>
        <w:pStyle w:val="ListBullet"/>
        <w:spacing w:after="60"/>
      </w:pPr>
      <w:r>
        <w:rPr>
          <w:rFonts w:ascii="Microsoft JhengHei" w:hAnsi="Microsoft JhengHei" w:eastAsia="Microsoft JhengHei" w:cs="Microsoft JhengHei" w:hint="eastAsia"/>
          <w:b w:val="0"/>
          <w:sz w:val="22"/>
          <w:lang w:val="zh-TW" w:eastAsia="zh-TW"/>
        </w:rPr>
        <w:t>末段放活動資訊或延伸連結；沒有正式網址就標示待確認。</w:t>
      </w:r>
    </w:p>
    <w:p>
      <w:r>
        <w:rPr>
          <w:rFonts w:ascii="Microsoft JhengHei" w:hAnsi="Microsoft JhengHei" w:eastAsia="Microsoft JhengHei" w:cs="Microsoft JhengHei" w:hint="eastAsia"/>
          <w:b w:val="0"/>
          <w:color w:val="5F6B76"/>
          <w:sz w:val="18"/>
          <w:lang w:val="zh-TW" w:eastAsia="zh-TW"/>
        </w:rPr>
        <w:t>風格參考：東海大學公共事務暨校友服務處新聞頁 https://thupr.thu.edu.tw/news.php</w:t>
      </w:r>
    </w:p>
    <w:sectPr w:rsidR="00FC693F" w:rsidRPr="0006063C" w:rsidSect="00034616">
      <w:footerReference w:type="default" r:id="rId9"/>
      <w:pgSz w:w="12240" w:h="15840"/>
      <w:pgMar w:top="1152" w:right="1296" w:bottom="1080" w:left="1296" w:header="432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Microsoft JhengHei" w:hAnsi="Microsoft JhengHei" w:eastAsia="Microsoft JhengHei" w:cs="Microsoft JhengHei" w:hint="eastAsia"/>
        <w:b w:val="0"/>
        <w:color w:val="5F6B76"/>
        <w:sz w:val="18"/>
        <w:lang w:val="zh-TW" w:eastAsia="zh-TW"/>
      </w:rPr>
      <w:t>課堂練習用｜所有人物與聯絡資料皆為虛構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Microsoft JhengHei" w:hAnsi="Microsoft JhengHei" w:eastAsia="Microsoft JhengHe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Microsoft JhengHei" w:hAnsi="Microsoft JhengHei" w:eastAsia="Microsoft JhengHei"/>
      <w:b/>
      <w:bCs/>
      <w:color w:val="123B63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Microsoft JhengHei" w:hAnsi="Microsoft JhengHei" w:eastAsia="Microsoft JhengHei"/>
      <w:b/>
      <w:bCs/>
      <w:color w:val="123B63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